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32" w:rsidRDefault="00024232" w:rsidP="00024232">
      <w:pPr>
        <w:jc w:val="center"/>
        <w:rPr>
          <w:rFonts w:ascii="Calibri" w:hAnsi="Calibri"/>
          <w:b/>
          <w:i/>
          <w:sz w:val="36"/>
          <w:szCs w:val="36"/>
        </w:rPr>
      </w:pPr>
      <w:r w:rsidRPr="007726F2">
        <w:rPr>
          <w:noProof/>
          <w:lang w:eastAsia="es-PE"/>
        </w:rPr>
        <w:drawing>
          <wp:inline distT="0" distB="0" distL="0" distR="0">
            <wp:extent cx="2174240" cy="6553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</w:t>
      </w:r>
      <w:r w:rsidRPr="00F25377">
        <w:rPr>
          <w:noProof/>
          <w:lang w:eastAsia="es-PE"/>
        </w:rPr>
        <w:drawing>
          <wp:inline distT="0" distB="0" distL="0" distR="0">
            <wp:extent cx="474980" cy="662305"/>
            <wp:effectExtent l="0" t="0" r="127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</w:t>
      </w:r>
      <w:r w:rsidRPr="00884C1B">
        <w:rPr>
          <w:noProof/>
          <w:lang w:eastAsia="es-PE"/>
        </w:rPr>
        <w:drawing>
          <wp:inline distT="0" distB="0" distL="0" distR="0">
            <wp:extent cx="2102485" cy="6407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32" w:rsidRDefault="00024232"/>
    <w:p w:rsidR="00EF418A" w:rsidRPr="004C49A3" w:rsidRDefault="00EF418A" w:rsidP="00A9178F">
      <w:pPr>
        <w:pStyle w:val="Sinespaciado"/>
        <w:jc w:val="center"/>
        <w:rPr>
          <w:sz w:val="32"/>
          <w:szCs w:val="32"/>
        </w:rPr>
      </w:pPr>
      <w:r w:rsidRPr="004C49A3">
        <w:rPr>
          <w:sz w:val="32"/>
          <w:szCs w:val="32"/>
        </w:rPr>
        <w:t>Comité Ambiental para el Desarrollo Sostenible de la URP</w:t>
      </w:r>
    </w:p>
    <w:p w:rsidR="00EF418A" w:rsidRPr="001D2F71" w:rsidRDefault="00EF418A" w:rsidP="00EF418A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1D2F71">
        <w:rPr>
          <w:rFonts w:ascii="Calibri" w:eastAsia="Calibri" w:hAnsi="Calibri"/>
          <w:color w:val="000000"/>
          <w:kern w:val="24"/>
          <w:sz w:val="22"/>
          <w:szCs w:val="22"/>
          <w:lang w:val="es-PE"/>
        </w:rPr>
        <w:t>Instancia ambiental universitaria: Acuerdo Consejo Universitario N° 2896 - 2022</w:t>
      </w:r>
    </w:p>
    <w:p w:rsidR="00EF418A" w:rsidRPr="00A9178F" w:rsidRDefault="00EF418A" w:rsidP="00EF418A">
      <w:pPr>
        <w:jc w:val="center"/>
        <w:rPr>
          <w:rFonts w:ascii="Calibri" w:hAnsi="Calibri"/>
          <w:b/>
          <w:sz w:val="36"/>
          <w:szCs w:val="36"/>
          <w:lang w:val="es-ES"/>
        </w:rPr>
      </w:pPr>
    </w:p>
    <w:p w:rsidR="00EF418A" w:rsidRPr="00DA66E6" w:rsidRDefault="00997013" w:rsidP="00671138">
      <w:pPr>
        <w:pStyle w:val="Sinespaciado"/>
        <w:jc w:val="center"/>
        <w:rPr>
          <w:b/>
          <w:color w:val="0000FF"/>
          <w:sz w:val="32"/>
          <w:szCs w:val="32"/>
        </w:rPr>
      </w:pPr>
      <w:r w:rsidRPr="00DA66E6">
        <w:rPr>
          <w:b/>
          <w:color w:val="0000FF"/>
          <w:sz w:val="32"/>
          <w:szCs w:val="32"/>
        </w:rPr>
        <w:t>Sobre Coordinación Ambiental</w:t>
      </w:r>
    </w:p>
    <w:p w:rsidR="00024232" w:rsidRPr="00F02770" w:rsidRDefault="00024232" w:rsidP="001C20F9">
      <w:pPr>
        <w:pStyle w:val="Sinespaciado"/>
        <w:rPr>
          <w:rFonts w:asciiTheme="minorHAnsi" w:eastAsia="Arial" w:hAnsiTheme="minorHAnsi" w:cs="Arial"/>
          <w:sz w:val="20"/>
          <w:szCs w:val="20"/>
        </w:rPr>
      </w:pPr>
    </w:p>
    <w:p w:rsidR="007E1C85" w:rsidRPr="00F02770" w:rsidRDefault="00EC64B7" w:rsidP="007E1C85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El </w:t>
      </w:r>
      <w:r w:rsidRPr="00EC64B7">
        <w:rPr>
          <w:rFonts w:ascii="Calibri" w:eastAsia="Times New Roman" w:hAnsi="Calibri" w:cs="Times New Roman"/>
          <w:bCs/>
          <w:kern w:val="24"/>
          <w:sz w:val="20"/>
          <w:szCs w:val="20"/>
          <w:lang w:eastAsia="es-PE"/>
        </w:rPr>
        <w:t xml:space="preserve">Instituto Peruano del Pensamiento Complejo Edgar </w:t>
      </w:r>
      <w:proofErr w:type="spellStart"/>
      <w:r w:rsidRPr="00EC64B7">
        <w:rPr>
          <w:rFonts w:ascii="Calibri" w:eastAsia="Times New Roman" w:hAnsi="Calibri" w:cs="Times New Roman"/>
          <w:bCs/>
          <w:kern w:val="24"/>
          <w:sz w:val="20"/>
          <w:szCs w:val="20"/>
          <w:lang w:eastAsia="es-PE"/>
        </w:rPr>
        <w:t>Morin</w:t>
      </w:r>
      <w:proofErr w:type="spellEnd"/>
      <w:r w:rsidRPr="00EC64B7">
        <w:rPr>
          <w:rFonts w:ascii="Calibri" w:eastAsia="Times New Roman" w:hAnsi="Calibri" w:cs="Times New Roman"/>
          <w:bCs/>
          <w:kern w:val="24"/>
          <w:sz w:val="20"/>
          <w:szCs w:val="20"/>
          <w:lang w:eastAsia="es-PE"/>
        </w:rPr>
        <w:t xml:space="preserve"> (IPCEM) </w:t>
      </w: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y el </w:t>
      </w:r>
      <w:r w:rsidRPr="00EC64B7">
        <w:rPr>
          <w:rFonts w:ascii="Calibri" w:eastAsia="Times New Roman" w:hAnsi="Calibri" w:cs="Times New Roman"/>
          <w:bCs/>
          <w:kern w:val="24"/>
          <w:sz w:val="20"/>
          <w:szCs w:val="20"/>
          <w:lang w:eastAsia="es-PE"/>
        </w:rPr>
        <w:t>Centro Regional de Competencias en Educación para el Desarrollo Sostenible (RCE Lima-Callao) adscrito a la Universidad de las Naciones Unidas</w:t>
      </w: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 tienen a su cargo </w:t>
      </w:r>
      <w:r w:rsidR="00BA153D" w:rsidRPr="00F02770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>la Presidencia d</w:t>
      </w: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>el Comité Ambiental para el Desarrollo Sostenible de la URP</w:t>
      </w:r>
      <w:r w:rsidR="007E1C85" w:rsidRPr="00F02770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>, en coordinación con otras dependencias, facultades y oficinas, particularmente el rect</w:t>
      </w:r>
      <w:r w:rsidR="00620166" w:rsidRPr="00F02770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orado. </w:t>
      </w:r>
      <w:r w:rsidR="00620166" w:rsidRPr="00F02770">
        <w:rPr>
          <w:rFonts w:cs="Calibri"/>
          <w:sz w:val="20"/>
          <w:szCs w:val="20"/>
          <w:lang w:val="es-MX"/>
        </w:rPr>
        <w:t xml:space="preserve">Implementa y ejecuta </w:t>
      </w:r>
      <w:r w:rsidR="007E1C85" w:rsidRPr="00F02770">
        <w:rPr>
          <w:rFonts w:cs="Calibri"/>
          <w:sz w:val="20"/>
          <w:szCs w:val="20"/>
          <w:lang w:val="es-MX"/>
        </w:rPr>
        <w:t xml:space="preserve">el </w:t>
      </w:r>
      <w:r w:rsidR="007E1C85" w:rsidRPr="00F02770">
        <w:rPr>
          <w:rFonts w:cs="Calibri"/>
          <w:sz w:val="20"/>
          <w:szCs w:val="20"/>
        </w:rPr>
        <w:t>“Plan de protección al medioambiente y desarrollo sostenible de la URP” (2021-2026), según ACU 2006-2021-Virtual en las dimensiones de gestión ambiental, formación, inv</w:t>
      </w:r>
      <w:r w:rsidR="007E1C85" w:rsidRPr="00F02770">
        <w:rPr>
          <w:rFonts w:cs="Calibri"/>
          <w:sz w:val="20"/>
          <w:szCs w:val="20"/>
        </w:rPr>
        <w:t xml:space="preserve">estigación y proyección social. Para ello, </w:t>
      </w:r>
      <w:r w:rsidR="007E1C85" w:rsidRPr="00F02770">
        <w:rPr>
          <w:sz w:val="20"/>
          <w:szCs w:val="20"/>
        </w:rPr>
        <w:t>se definió una Hoja de ruta 2024</w:t>
      </w:r>
      <w:r w:rsidR="007E1C85" w:rsidRPr="00F02770">
        <w:rPr>
          <w:sz w:val="20"/>
          <w:szCs w:val="20"/>
        </w:rPr>
        <w:t>.</w:t>
      </w:r>
    </w:p>
    <w:p w:rsidR="00EC64B7" w:rsidRPr="00EC64B7" w:rsidRDefault="00EC64B7" w:rsidP="00EC64B7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 </w:t>
      </w:r>
    </w:p>
    <w:p w:rsidR="00787F68" w:rsidRDefault="00EC64B7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El IPCEM desarrolla el estudio y aplicación del pensamiento complejo, las ciencias de la complejidad y el “Vivir Bien” en la búsqueda de enfoques que permitan abordar la complejidad de los fenómenos naturales y sociales para un desarrollo sostenible en el Perú. </w:t>
      </w:r>
      <w:r w:rsidR="00787F68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 Ver: </w:t>
      </w:r>
    </w:p>
    <w:p w:rsidR="00787F68" w:rsidRDefault="0020246D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hyperlink r:id="rId8" w:history="1">
        <w:r w:rsidRPr="00033C36">
          <w:rPr>
            <w:rStyle w:val="Hipervnculo"/>
            <w:rFonts w:ascii="Calibri" w:eastAsia="Times New Roman" w:hAnsi="Calibri" w:cs="Times New Roman"/>
            <w:kern w:val="24"/>
            <w:sz w:val="20"/>
            <w:szCs w:val="20"/>
            <w:lang w:eastAsia="es-PE"/>
          </w:rPr>
          <w:t>https://www.urp.edu.pe/ipcem/</w:t>
        </w:r>
      </w:hyperlink>
    </w:p>
    <w:p w:rsidR="00787F68" w:rsidRDefault="00787F68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</w:p>
    <w:p w:rsidR="00BA153D" w:rsidRDefault="00EC64B7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El </w:t>
      </w:r>
      <w:r w:rsidRPr="00EC64B7">
        <w:rPr>
          <w:rFonts w:ascii="Calibri" w:eastAsia="Times New Roman" w:hAnsi="Calibri" w:cs="Times New Roman"/>
          <w:bCs/>
          <w:kern w:val="24"/>
          <w:sz w:val="20"/>
          <w:szCs w:val="20"/>
          <w:lang w:eastAsia="es-PE"/>
        </w:rPr>
        <w:t xml:space="preserve">Centro Regional de Competencias en Educación para el Desarrollo Sostenible (RCE Lima-Callao) adscrito a la Universidad de las Naciones Unidas </w:t>
      </w:r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promueve las mejores prácticas de Educación para el Desarrollo Sostenible (EDS), articula los esfuerzos de las organizaciones públicas, privadas, </w:t>
      </w:r>
      <w:proofErr w:type="spellStart"/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>ONG’s</w:t>
      </w:r>
      <w:proofErr w:type="spellEnd"/>
      <w:r w:rsidRPr="00EC64B7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 y los ciudadanos en general para contribuir a superar la pobreza y la exclusión social. Está comprometido con la defensa de la vida y la preservación del medio ambiente. En sinergia con otras dependencias URP.</w:t>
      </w:r>
      <w:r w:rsidR="00787F68"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  <w:t xml:space="preserve"> Ver: </w:t>
      </w:r>
    </w:p>
    <w:p w:rsidR="00BD1C62" w:rsidRDefault="00BD1C62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hyperlink r:id="rId9" w:history="1">
        <w:r w:rsidRPr="00033C36">
          <w:rPr>
            <w:rStyle w:val="Hipervnculo"/>
            <w:rFonts w:ascii="Calibri" w:eastAsia="Times New Roman" w:hAnsi="Calibri" w:cs="Times New Roman"/>
            <w:kern w:val="24"/>
            <w:sz w:val="20"/>
            <w:szCs w:val="20"/>
            <w:lang w:eastAsia="es-PE"/>
          </w:rPr>
          <w:t>www.urp.edu.pe/rcelimacallao</w:t>
        </w:r>
      </w:hyperlink>
    </w:p>
    <w:p w:rsidR="00787F68" w:rsidRDefault="00787F68" w:rsidP="00BA153D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hyperlink r:id="rId10" w:history="1">
        <w:r w:rsidRPr="00033C36">
          <w:rPr>
            <w:rStyle w:val="Hipervnculo"/>
            <w:rFonts w:ascii="Calibri" w:eastAsia="Times New Roman" w:hAnsi="Calibri" w:cs="Times New Roman"/>
            <w:kern w:val="24"/>
            <w:sz w:val="20"/>
            <w:szCs w:val="20"/>
            <w:lang w:eastAsia="es-PE"/>
          </w:rPr>
          <w:t>https://www.rcenetwork.org/portal/rce-profile-detail/rce-lima-callao</w:t>
        </w:r>
      </w:hyperlink>
    </w:p>
    <w:p w:rsidR="00620166" w:rsidRPr="00F02770" w:rsidRDefault="00620166" w:rsidP="00510B19">
      <w:pPr>
        <w:pStyle w:val="Sinespaciado"/>
        <w:rPr>
          <w:rFonts w:asciiTheme="minorHAnsi" w:hAnsiTheme="minorHAnsi"/>
          <w:b/>
          <w:sz w:val="20"/>
          <w:szCs w:val="20"/>
        </w:rPr>
      </w:pPr>
    </w:p>
    <w:p w:rsidR="00510B19" w:rsidRPr="00DA66E6" w:rsidRDefault="00620166" w:rsidP="00510B19">
      <w:pPr>
        <w:pStyle w:val="Sinespaciado"/>
        <w:rPr>
          <w:b/>
          <w:color w:val="0000FF"/>
          <w:sz w:val="28"/>
          <w:szCs w:val="28"/>
          <w:lang w:val="es-MX"/>
        </w:rPr>
      </w:pPr>
      <w:r w:rsidRPr="00DA66E6">
        <w:rPr>
          <w:b/>
          <w:color w:val="0000FF"/>
          <w:sz w:val="28"/>
          <w:szCs w:val="28"/>
        </w:rPr>
        <w:t>E</w:t>
      </w:r>
      <w:r w:rsidRPr="00DA66E6">
        <w:rPr>
          <w:b/>
          <w:color w:val="0000FF"/>
          <w:sz w:val="28"/>
          <w:szCs w:val="28"/>
          <w:lang w:val="es-MX"/>
        </w:rPr>
        <w:t>n el</w:t>
      </w:r>
      <w:r w:rsidR="00BA153D" w:rsidRPr="00DA66E6">
        <w:rPr>
          <w:b/>
          <w:color w:val="0000FF"/>
          <w:sz w:val="28"/>
          <w:szCs w:val="28"/>
          <w:lang w:val="es-MX"/>
        </w:rPr>
        <w:t xml:space="preserve"> </w:t>
      </w:r>
      <w:r w:rsidR="00510B19" w:rsidRPr="00DA66E6">
        <w:rPr>
          <w:b/>
          <w:color w:val="0000FF"/>
          <w:sz w:val="28"/>
          <w:szCs w:val="28"/>
          <w:lang w:val="es-MX"/>
        </w:rPr>
        <w:t>Comité Ambiental pa</w:t>
      </w:r>
      <w:r w:rsidRPr="00DA66E6">
        <w:rPr>
          <w:b/>
          <w:color w:val="0000FF"/>
          <w:sz w:val="28"/>
          <w:szCs w:val="28"/>
          <w:lang w:val="es-MX"/>
        </w:rPr>
        <w:t xml:space="preserve">ra el Desarrollo Sostenible </w:t>
      </w:r>
      <w:r w:rsidR="00B82AB1" w:rsidRPr="00DA66E6">
        <w:rPr>
          <w:b/>
          <w:color w:val="0000FF"/>
          <w:sz w:val="28"/>
          <w:szCs w:val="28"/>
          <w:lang w:val="es-MX"/>
        </w:rPr>
        <w:t xml:space="preserve">de la Universidad Ricardo Palma </w:t>
      </w:r>
      <w:r w:rsidRPr="00DA66E6">
        <w:rPr>
          <w:b/>
          <w:color w:val="0000FF"/>
          <w:sz w:val="28"/>
          <w:szCs w:val="28"/>
          <w:lang w:val="es-MX"/>
        </w:rPr>
        <w:t xml:space="preserve">participa </w:t>
      </w:r>
      <w:r w:rsidR="00510B19" w:rsidRPr="00DA66E6">
        <w:rPr>
          <w:b/>
          <w:color w:val="0000FF"/>
          <w:sz w:val="28"/>
          <w:szCs w:val="28"/>
          <w:lang w:val="es-MX"/>
        </w:rPr>
        <w:t>toda la comunidad universitaria</w:t>
      </w:r>
    </w:p>
    <w:p w:rsidR="00510B19" w:rsidRPr="00F02770" w:rsidRDefault="00510B19" w:rsidP="00510B19">
      <w:pPr>
        <w:pStyle w:val="Sinespaciado"/>
        <w:rPr>
          <w:b/>
          <w:sz w:val="20"/>
          <w:szCs w:val="20"/>
          <w:lang w:val="es-MX"/>
        </w:rPr>
      </w:pPr>
    </w:p>
    <w:p w:rsidR="00510B19" w:rsidRPr="00F02770" w:rsidRDefault="00510B19" w:rsidP="00BA153D">
      <w:pPr>
        <w:pStyle w:val="Sinespaciado"/>
        <w:jc w:val="both"/>
        <w:rPr>
          <w:b/>
          <w:sz w:val="20"/>
          <w:szCs w:val="20"/>
          <w:lang w:val="es-MX"/>
        </w:rPr>
      </w:pPr>
      <w:r w:rsidRPr="00F02770">
        <w:rPr>
          <w:sz w:val="20"/>
          <w:szCs w:val="20"/>
        </w:rPr>
        <w:t>El ACU 2896 – 2022 del 27 de dic</w:t>
      </w:r>
      <w:r w:rsidR="004D01D1" w:rsidRPr="00F02770">
        <w:rPr>
          <w:sz w:val="20"/>
          <w:szCs w:val="20"/>
        </w:rPr>
        <w:t xml:space="preserve">iembre del 2022 aprobó la actual </w:t>
      </w:r>
      <w:r w:rsidRPr="00F02770">
        <w:rPr>
          <w:sz w:val="20"/>
          <w:szCs w:val="20"/>
        </w:rPr>
        <w:t>composición del Comité Ambiental para el Desarrollo Sostenible de la URP. Tiene representantes de las diferentes facultades debidamente designados por sus decanos. Este nuevo</w:t>
      </w:r>
      <w:r w:rsidR="004D01D1" w:rsidRPr="00F02770">
        <w:rPr>
          <w:sz w:val="20"/>
          <w:szCs w:val="20"/>
        </w:rPr>
        <w:t xml:space="preserve"> Comité empezó a sesionar en </w:t>
      </w:r>
      <w:r w:rsidRPr="00F02770">
        <w:rPr>
          <w:sz w:val="20"/>
          <w:szCs w:val="20"/>
        </w:rPr>
        <w:t>febrero 202</w:t>
      </w:r>
      <w:r w:rsidRPr="00F02770">
        <w:rPr>
          <w:sz w:val="20"/>
          <w:szCs w:val="20"/>
        </w:rPr>
        <w:t xml:space="preserve">3. </w:t>
      </w:r>
    </w:p>
    <w:p w:rsidR="00510B19" w:rsidRPr="00F02770" w:rsidRDefault="00510B19" w:rsidP="00510B19">
      <w:pPr>
        <w:pStyle w:val="Sinespaciado"/>
        <w:rPr>
          <w:b/>
          <w:color w:val="0000FF"/>
          <w:sz w:val="20"/>
          <w:szCs w:val="20"/>
          <w:lang w:val="es-MX"/>
        </w:rPr>
      </w:pPr>
    </w:p>
    <w:p w:rsidR="001C20F9" w:rsidRDefault="00510B19" w:rsidP="000819BA">
      <w:pPr>
        <w:jc w:val="center"/>
      </w:pPr>
      <w:r>
        <w:rPr>
          <w:rFonts w:ascii="Calibri" w:hAnsi="Calibri" w:cs="Arial"/>
          <w:noProof/>
          <w:spacing w:val="2"/>
          <w:sz w:val="20"/>
          <w:szCs w:val="20"/>
          <w:lang w:eastAsia="es-PE"/>
        </w:rPr>
        <w:lastRenderedPageBreak/>
        <w:drawing>
          <wp:inline distT="0" distB="0" distL="0" distR="0">
            <wp:extent cx="2865074" cy="4096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936" cy="409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noProof/>
          <w:spacing w:val="2"/>
          <w:sz w:val="20"/>
          <w:szCs w:val="20"/>
          <w:lang w:eastAsia="es-PE"/>
        </w:rPr>
        <w:drawing>
          <wp:inline distT="0" distB="0" distL="0" distR="0">
            <wp:extent cx="2865755" cy="41471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EA2" w:rsidRPr="00F02770" w:rsidRDefault="00BA153D" w:rsidP="00906EA2">
      <w:pPr>
        <w:pStyle w:val="Sinespaciado"/>
        <w:jc w:val="both"/>
        <w:rPr>
          <w:sz w:val="20"/>
          <w:szCs w:val="20"/>
        </w:rPr>
      </w:pPr>
      <w:r w:rsidRPr="00F02770">
        <w:rPr>
          <w:sz w:val="20"/>
          <w:szCs w:val="20"/>
        </w:rPr>
        <w:t xml:space="preserve">Durante el semestre 2023-I, semestre 2023-II, semestre 2024-I y semestre 2024-II la URP asignó 10 horas no lectivas a los profesores a tiempo parcial miembros del Comité. En tanto que, hay profesores miembros que han cumplido su labor en </w:t>
      </w:r>
      <w:r w:rsidR="00906EA2" w:rsidRPr="00F02770">
        <w:rPr>
          <w:sz w:val="20"/>
          <w:szCs w:val="20"/>
        </w:rPr>
        <w:t xml:space="preserve">el marco de su tiempo completo. </w:t>
      </w:r>
      <w:r w:rsidR="00906EA2" w:rsidRPr="00F02770">
        <w:rPr>
          <w:rFonts w:eastAsia="Times New Roman" w:cs="Times New Roman"/>
          <w:kern w:val="24"/>
          <w:sz w:val="20"/>
          <w:szCs w:val="20"/>
        </w:rPr>
        <w:t>El IPCEM dispone de</w:t>
      </w:r>
      <w:r w:rsidR="00906EA2" w:rsidRPr="00F02770">
        <w:rPr>
          <w:rFonts w:eastAsia="Times New Roman" w:cs="Times New Roman"/>
          <w:kern w:val="24"/>
          <w:sz w:val="20"/>
          <w:szCs w:val="20"/>
        </w:rPr>
        <w:t xml:space="preserve"> un empleado administrativo a tiempo completo</w:t>
      </w:r>
      <w:r w:rsidR="00906EA2" w:rsidRPr="00F02770">
        <w:rPr>
          <w:rFonts w:eastAsia="Times New Roman" w:cs="Times New Roman"/>
          <w:kern w:val="24"/>
          <w:sz w:val="20"/>
          <w:szCs w:val="20"/>
        </w:rPr>
        <w:t xml:space="preserve"> que apoya las labores de los docentes listados arriba. </w:t>
      </w:r>
    </w:p>
    <w:p w:rsidR="00906EA2" w:rsidRDefault="00906EA2" w:rsidP="0085492A">
      <w:pPr>
        <w:pStyle w:val="Sinespaciado"/>
        <w:jc w:val="both"/>
        <w:rPr>
          <w:sz w:val="20"/>
          <w:szCs w:val="20"/>
          <w:lang w:val="es-MX"/>
        </w:rPr>
      </w:pPr>
    </w:p>
    <w:p w:rsidR="00B82AB1" w:rsidRPr="00DA66E6" w:rsidRDefault="00B82AB1" w:rsidP="00B82AB1">
      <w:pPr>
        <w:pStyle w:val="Sinespaciado"/>
        <w:rPr>
          <w:b/>
          <w:color w:val="0000FF"/>
          <w:sz w:val="28"/>
          <w:szCs w:val="28"/>
          <w:lang w:val="es-MX"/>
        </w:rPr>
      </w:pPr>
      <w:r w:rsidRPr="00DA66E6">
        <w:rPr>
          <w:b/>
          <w:color w:val="0000FF"/>
          <w:sz w:val="28"/>
          <w:szCs w:val="28"/>
        </w:rPr>
        <w:t>Se dispone de una hoja de ruta, roles y responsabilidades y se tiene reuniones presenciales semanales</w:t>
      </w:r>
    </w:p>
    <w:p w:rsidR="00B82AB1" w:rsidRPr="00F02770" w:rsidRDefault="00B82AB1" w:rsidP="0085492A">
      <w:pPr>
        <w:pStyle w:val="Sinespaciado"/>
        <w:jc w:val="both"/>
        <w:rPr>
          <w:sz w:val="20"/>
          <w:szCs w:val="20"/>
          <w:lang w:val="es-MX"/>
        </w:rPr>
      </w:pPr>
    </w:p>
    <w:p w:rsidR="0085492A" w:rsidRPr="00F02770" w:rsidRDefault="00906EA2" w:rsidP="0085492A">
      <w:pPr>
        <w:pStyle w:val="Sinespaciado"/>
        <w:jc w:val="both"/>
        <w:rPr>
          <w:sz w:val="20"/>
          <w:szCs w:val="20"/>
          <w:lang w:val="es-MX"/>
        </w:rPr>
      </w:pPr>
      <w:r w:rsidRPr="00F02770">
        <w:rPr>
          <w:sz w:val="20"/>
          <w:szCs w:val="20"/>
          <w:lang w:val="es-MX"/>
        </w:rPr>
        <w:t xml:space="preserve">La amplia coordinación se asegura con </w:t>
      </w:r>
      <w:r w:rsidR="004D01D1" w:rsidRPr="00F02770">
        <w:rPr>
          <w:sz w:val="20"/>
          <w:szCs w:val="20"/>
          <w:lang w:val="es-MX"/>
        </w:rPr>
        <w:t>el establecimiento de una hoja de Ruta</w:t>
      </w:r>
      <w:r w:rsidR="004D01D1" w:rsidRPr="00F02770">
        <w:rPr>
          <w:sz w:val="20"/>
          <w:szCs w:val="20"/>
          <w:lang w:val="es-MX"/>
        </w:rPr>
        <w:t xml:space="preserve">, </w:t>
      </w:r>
      <w:r w:rsidRPr="00F02770">
        <w:rPr>
          <w:sz w:val="20"/>
          <w:szCs w:val="20"/>
          <w:lang w:val="es-MX"/>
        </w:rPr>
        <w:t>la asignación de roles y re</w:t>
      </w:r>
      <w:r w:rsidR="004D01D1" w:rsidRPr="00F02770">
        <w:rPr>
          <w:sz w:val="20"/>
          <w:szCs w:val="20"/>
          <w:lang w:val="es-MX"/>
        </w:rPr>
        <w:t xml:space="preserve">sponsabilidades a cada miembro y </w:t>
      </w:r>
      <w:r w:rsidRPr="00F02770">
        <w:rPr>
          <w:sz w:val="20"/>
          <w:szCs w:val="20"/>
          <w:lang w:val="es-MX"/>
        </w:rPr>
        <w:t>las reuniones presenciales semanales de</w:t>
      </w:r>
      <w:r w:rsidR="004D01D1" w:rsidRPr="00F02770">
        <w:rPr>
          <w:sz w:val="20"/>
          <w:szCs w:val="20"/>
          <w:lang w:val="es-MX"/>
        </w:rPr>
        <w:t>l Comité</w:t>
      </w:r>
      <w:r w:rsidRPr="00F02770">
        <w:rPr>
          <w:sz w:val="20"/>
          <w:szCs w:val="20"/>
          <w:lang w:val="es-MX"/>
        </w:rPr>
        <w:t xml:space="preserve">. </w:t>
      </w:r>
    </w:p>
    <w:p w:rsidR="00906EA2" w:rsidRDefault="00906EA2" w:rsidP="0085492A">
      <w:pPr>
        <w:pStyle w:val="Sinespaciado"/>
        <w:jc w:val="both"/>
        <w:rPr>
          <w:sz w:val="20"/>
          <w:szCs w:val="20"/>
          <w:lang w:val="es-MX"/>
        </w:rPr>
      </w:pPr>
    </w:p>
    <w:p w:rsidR="00B82AB1" w:rsidRPr="00DA66E6" w:rsidRDefault="00B82AB1" w:rsidP="00B82AB1">
      <w:pPr>
        <w:pStyle w:val="Sinespaciado"/>
        <w:rPr>
          <w:b/>
          <w:color w:val="0000FF"/>
          <w:sz w:val="28"/>
          <w:szCs w:val="28"/>
          <w:lang w:val="es-MX"/>
        </w:rPr>
      </w:pPr>
      <w:r w:rsidRPr="00DA66E6">
        <w:rPr>
          <w:b/>
          <w:color w:val="0000FF"/>
          <w:sz w:val="28"/>
          <w:szCs w:val="28"/>
        </w:rPr>
        <w:t xml:space="preserve">Se </w:t>
      </w:r>
      <w:r w:rsidRPr="00DA66E6">
        <w:rPr>
          <w:b/>
          <w:color w:val="0000FF"/>
          <w:sz w:val="28"/>
          <w:szCs w:val="28"/>
        </w:rPr>
        <w:t>han creado comités o consejos ambientales en cada facultad y oficinas</w:t>
      </w:r>
    </w:p>
    <w:p w:rsidR="00B82AB1" w:rsidRDefault="00B82AB1" w:rsidP="0085492A">
      <w:pPr>
        <w:pStyle w:val="Sinespaciado"/>
        <w:jc w:val="both"/>
        <w:rPr>
          <w:sz w:val="20"/>
          <w:szCs w:val="20"/>
          <w:lang w:val="es-MX"/>
        </w:rPr>
      </w:pPr>
    </w:p>
    <w:p w:rsidR="00B82AB1" w:rsidRPr="00F02770" w:rsidRDefault="00B82AB1" w:rsidP="00B82AB1">
      <w:pPr>
        <w:pStyle w:val="Sinespaciado"/>
        <w:jc w:val="both"/>
        <w:rPr>
          <w:sz w:val="20"/>
          <w:szCs w:val="20"/>
          <w:lang w:val="es-MX"/>
        </w:rPr>
      </w:pPr>
      <w:r w:rsidRPr="00F02770">
        <w:rPr>
          <w:sz w:val="20"/>
          <w:szCs w:val="20"/>
          <w:lang w:val="es-MX"/>
        </w:rPr>
        <w:t xml:space="preserve">En cada facultad y oficinas se ha creado comités o consejos ambientales responsables de: </w:t>
      </w:r>
    </w:p>
    <w:p w:rsidR="00B82AB1" w:rsidRPr="00F02770" w:rsidRDefault="00B82AB1" w:rsidP="00B82AB1">
      <w:pPr>
        <w:pStyle w:val="Sinespaciado"/>
        <w:jc w:val="both"/>
        <w:rPr>
          <w:sz w:val="20"/>
          <w:szCs w:val="20"/>
          <w:lang w:val="es-MX"/>
        </w:rPr>
      </w:pPr>
    </w:p>
    <w:p w:rsidR="00B82AB1" w:rsidRPr="00F02770" w:rsidRDefault="00B82AB1" w:rsidP="00B82AB1">
      <w:pPr>
        <w:pStyle w:val="Default"/>
        <w:ind w:firstLine="708"/>
        <w:rPr>
          <w:color w:val="auto"/>
          <w:sz w:val="20"/>
          <w:szCs w:val="20"/>
        </w:rPr>
      </w:pPr>
      <w:r w:rsidRPr="00F02770">
        <w:rPr>
          <w:rFonts w:cstheme="minorBidi"/>
          <w:color w:val="auto"/>
          <w:sz w:val="20"/>
          <w:szCs w:val="20"/>
        </w:rPr>
        <w:t xml:space="preserve">• </w:t>
      </w:r>
      <w:r w:rsidRPr="00F02770">
        <w:rPr>
          <w:color w:val="auto"/>
          <w:sz w:val="20"/>
          <w:szCs w:val="20"/>
        </w:rPr>
        <w:t xml:space="preserve">Constituir en su Facultad un núcleo del Comité Ambiental para el Desarrollo Sostenible de la URP. </w:t>
      </w:r>
    </w:p>
    <w:p w:rsidR="00B82AB1" w:rsidRPr="00F02770" w:rsidRDefault="00B82AB1" w:rsidP="00B82AB1">
      <w:pPr>
        <w:pStyle w:val="Default"/>
        <w:ind w:firstLine="708"/>
        <w:rPr>
          <w:color w:val="auto"/>
          <w:sz w:val="20"/>
          <w:szCs w:val="20"/>
        </w:rPr>
      </w:pPr>
      <w:r w:rsidRPr="00F02770">
        <w:rPr>
          <w:color w:val="auto"/>
          <w:sz w:val="20"/>
          <w:szCs w:val="20"/>
        </w:rPr>
        <w:t xml:space="preserve">• Participar en las reuniones de coordinación del Comité Ambiental URP. </w:t>
      </w:r>
    </w:p>
    <w:p w:rsidR="00B82AB1" w:rsidRPr="00F02770" w:rsidRDefault="00B82AB1" w:rsidP="00B82AB1">
      <w:pPr>
        <w:pStyle w:val="Default"/>
        <w:ind w:firstLine="708"/>
        <w:rPr>
          <w:color w:val="auto"/>
          <w:sz w:val="20"/>
          <w:szCs w:val="20"/>
        </w:rPr>
      </w:pPr>
      <w:r w:rsidRPr="00F02770">
        <w:rPr>
          <w:color w:val="auto"/>
          <w:sz w:val="20"/>
          <w:szCs w:val="20"/>
        </w:rPr>
        <w:t xml:space="preserve">• Elaborar el Plan de trabajo de su Facultad correspondiente en función de una hoja de ruta 2024. </w:t>
      </w:r>
    </w:p>
    <w:p w:rsidR="00B82AB1" w:rsidRPr="00F02770" w:rsidRDefault="00B82AB1" w:rsidP="00B82AB1">
      <w:pPr>
        <w:pStyle w:val="Default"/>
        <w:ind w:left="708"/>
        <w:rPr>
          <w:color w:val="auto"/>
          <w:sz w:val="20"/>
          <w:szCs w:val="20"/>
        </w:rPr>
      </w:pPr>
      <w:r w:rsidRPr="00F02770">
        <w:rPr>
          <w:color w:val="auto"/>
          <w:sz w:val="20"/>
          <w:szCs w:val="20"/>
        </w:rPr>
        <w:t xml:space="preserve">• Organizar campañas de difusión, cursos, conferencias, congresos, feria de buenas prácticas, elaborar de materiales y otros que se aprueban en el Comité Ambiental. </w:t>
      </w:r>
    </w:p>
    <w:p w:rsidR="00B82AB1" w:rsidRPr="00F02770" w:rsidRDefault="00B82AB1" w:rsidP="00B82AB1">
      <w:pPr>
        <w:pStyle w:val="Default"/>
        <w:ind w:firstLine="708"/>
        <w:rPr>
          <w:color w:val="auto"/>
          <w:sz w:val="20"/>
          <w:szCs w:val="20"/>
        </w:rPr>
      </w:pPr>
      <w:r w:rsidRPr="00F02770">
        <w:rPr>
          <w:color w:val="auto"/>
          <w:sz w:val="20"/>
          <w:szCs w:val="20"/>
        </w:rPr>
        <w:t xml:space="preserve">• Hacer los informes correspondientes para la evaluación ambiental MINAM. </w:t>
      </w:r>
    </w:p>
    <w:p w:rsidR="00B82AB1" w:rsidRPr="00F02770" w:rsidRDefault="00B82AB1" w:rsidP="00B82AB1">
      <w:pPr>
        <w:pStyle w:val="Default"/>
        <w:ind w:firstLine="708"/>
        <w:rPr>
          <w:color w:val="auto"/>
          <w:sz w:val="20"/>
          <w:szCs w:val="20"/>
        </w:rPr>
      </w:pPr>
      <w:r w:rsidRPr="00F02770">
        <w:rPr>
          <w:color w:val="auto"/>
          <w:sz w:val="20"/>
          <w:szCs w:val="20"/>
        </w:rPr>
        <w:t>• Coordinaciones permanentes con cada grupo de trabajo y seguim</w:t>
      </w:r>
      <w:r>
        <w:rPr>
          <w:color w:val="auto"/>
          <w:sz w:val="20"/>
          <w:szCs w:val="20"/>
        </w:rPr>
        <w:t xml:space="preserve">iento para cumplimiento con los </w:t>
      </w:r>
      <w:r w:rsidRPr="00F02770">
        <w:rPr>
          <w:color w:val="auto"/>
          <w:sz w:val="20"/>
          <w:szCs w:val="20"/>
        </w:rPr>
        <w:t xml:space="preserve">indicadores. </w:t>
      </w:r>
    </w:p>
    <w:p w:rsidR="00B82AB1" w:rsidRDefault="00B82AB1" w:rsidP="0085492A">
      <w:pPr>
        <w:pStyle w:val="Sinespaciado"/>
        <w:jc w:val="both"/>
        <w:rPr>
          <w:sz w:val="20"/>
          <w:szCs w:val="20"/>
          <w:lang w:val="es-MX"/>
        </w:rPr>
      </w:pPr>
    </w:p>
    <w:p w:rsidR="00B82AB1" w:rsidRPr="00DA66E6" w:rsidRDefault="00B82AB1" w:rsidP="00B82AB1">
      <w:pPr>
        <w:pStyle w:val="Sinespaciado"/>
        <w:rPr>
          <w:b/>
          <w:color w:val="0000FF"/>
          <w:sz w:val="28"/>
          <w:szCs w:val="28"/>
          <w:lang w:val="es-MX"/>
        </w:rPr>
      </w:pPr>
      <w:r w:rsidRPr="00DA66E6">
        <w:rPr>
          <w:b/>
          <w:color w:val="0000FF"/>
          <w:sz w:val="28"/>
          <w:szCs w:val="28"/>
        </w:rPr>
        <w:t>Se tienen logros visibles a nivel institucional</w:t>
      </w:r>
    </w:p>
    <w:p w:rsidR="00B82AB1" w:rsidRPr="00F02770" w:rsidRDefault="00B82AB1" w:rsidP="0085492A">
      <w:pPr>
        <w:pStyle w:val="Sinespaciado"/>
        <w:jc w:val="both"/>
        <w:rPr>
          <w:sz w:val="20"/>
          <w:szCs w:val="20"/>
          <w:lang w:val="es-MX"/>
        </w:rPr>
      </w:pPr>
    </w:p>
    <w:p w:rsidR="00906EA2" w:rsidRPr="00F02770" w:rsidRDefault="009F4EFD" w:rsidP="0085492A">
      <w:pPr>
        <w:pStyle w:val="Sinespaciado"/>
        <w:jc w:val="both"/>
        <w:rPr>
          <w:sz w:val="20"/>
          <w:szCs w:val="20"/>
          <w:lang w:val="es-MX"/>
        </w:rPr>
      </w:pPr>
      <w:r w:rsidRPr="00F02770">
        <w:rPr>
          <w:sz w:val="20"/>
          <w:szCs w:val="20"/>
          <w:lang w:val="es-MX"/>
        </w:rPr>
        <w:lastRenderedPageBreak/>
        <w:t>Entre los logros a nivel institucional podemos citar el hecho de estar implementando el proyecto “Universidad Ecológica”</w:t>
      </w:r>
      <w:r w:rsidR="00966EEF" w:rsidRPr="00F02770">
        <w:rPr>
          <w:sz w:val="20"/>
          <w:szCs w:val="20"/>
          <w:lang w:val="es-MX"/>
        </w:rPr>
        <w:t xml:space="preserve"> https://www.urp.edu.pe/pregrado/facultad-de-arquitectura/laboratorios/laboratorio-de-acondicionamiento-ambiental/proyecto-universidad-ecologica-urp/</w:t>
      </w:r>
    </w:p>
    <w:p w:rsidR="00174C80" w:rsidRPr="00F02770" w:rsidRDefault="00174C80" w:rsidP="0085492A">
      <w:pPr>
        <w:pStyle w:val="Sinespaciado"/>
        <w:jc w:val="both"/>
        <w:rPr>
          <w:sz w:val="20"/>
          <w:szCs w:val="20"/>
          <w:lang w:val="es-MX"/>
        </w:rPr>
      </w:pPr>
    </w:p>
    <w:p w:rsidR="00906EA2" w:rsidRPr="00F02770" w:rsidRDefault="00966EEF" w:rsidP="00966EEF">
      <w:pPr>
        <w:pStyle w:val="Sinespaciado"/>
        <w:rPr>
          <w:sz w:val="20"/>
          <w:szCs w:val="20"/>
          <w:lang w:val="es-MX"/>
        </w:rPr>
      </w:pPr>
      <w:r w:rsidRPr="00F02770">
        <w:rPr>
          <w:sz w:val="20"/>
          <w:szCs w:val="20"/>
          <w:lang w:val="es-MX"/>
        </w:rPr>
        <w:t xml:space="preserve">Cualquier pregunta adicional </w:t>
      </w:r>
      <w:r w:rsidR="009F4EFD" w:rsidRPr="00F02770">
        <w:rPr>
          <w:sz w:val="20"/>
          <w:szCs w:val="20"/>
          <w:lang w:val="es-MX"/>
        </w:rPr>
        <w:t xml:space="preserve">con gusto la absolveremos. </w:t>
      </w:r>
    </w:p>
    <w:p w:rsidR="00966EEF" w:rsidRPr="00F02770" w:rsidRDefault="00966EEF" w:rsidP="00966EEF">
      <w:pPr>
        <w:pStyle w:val="Sinespaciado"/>
        <w:rPr>
          <w:sz w:val="20"/>
          <w:szCs w:val="20"/>
          <w:lang w:val="es-MX"/>
        </w:rPr>
      </w:pPr>
    </w:p>
    <w:p w:rsidR="009F4EFD" w:rsidRDefault="00966EEF" w:rsidP="00966EEF">
      <w:pPr>
        <w:pStyle w:val="Sinespaciado"/>
        <w:rPr>
          <w:sz w:val="20"/>
          <w:szCs w:val="20"/>
          <w:lang w:val="es-MX"/>
        </w:rPr>
      </w:pPr>
      <w:r w:rsidRPr="00F02770">
        <w:rPr>
          <w:sz w:val="20"/>
          <w:szCs w:val="20"/>
          <w:lang w:val="es-MX"/>
        </w:rPr>
        <w:t xml:space="preserve">Surco, setiembre 2024. </w:t>
      </w:r>
      <w:r w:rsidR="00DA66E6">
        <w:rPr>
          <w:sz w:val="20"/>
          <w:szCs w:val="20"/>
          <w:lang w:val="es-MX"/>
        </w:rPr>
        <w:br/>
      </w:r>
    </w:p>
    <w:p w:rsidR="00DA66E6" w:rsidRPr="00F02770" w:rsidRDefault="00DA66E6" w:rsidP="00966EEF">
      <w:pPr>
        <w:pStyle w:val="Sinespaciado"/>
        <w:rPr>
          <w:sz w:val="20"/>
          <w:szCs w:val="20"/>
          <w:lang w:val="es-MX"/>
        </w:rPr>
      </w:pPr>
    </w:p>
    <w:p w:rsidR="00906EA2" w:rsidRPr="00FF38EC" w:rsidRDefault="00906EA2" w:rsidP="00906EA2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FF38EC">
        <w:rPr>
          <w:noProof/>
          <w:sz w:val="20"/>
          <w:szCs w:val="20"/>
        </w:rPr>
        <w:drawing>
          <wp:inline distT="0" distB="0" distL="0" distR="0" wp14:anchorId="7CADCDCB" wp14:editId="32BCDFC8">
            <wp:extent cx="1123475" cy="625033"/>
            <wp:effectExtent l="0" t="0" r="635" b="3810"/>
            <wp:docPr id="1304641318" name="Imagen 1304641318" descr="Un 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41318" name="Imagen 1304641318" descr="Un dibujo en blanco y negr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65" cy="6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EA2" w:rsidRPr="00882614" w:rsidRDefault="00906EA2" w:rsidP="00906EA2">
      <w:pPr>
        <w:pStyle w:val="Default"/>
        <w:rPr>
          <w:color w:val="0000FF"/>
          <w:sz w:val="20"/>
          <w:szCs w:val="20"/>
        </w:rPr>
      </w:pPr>
    </w:p>
    <w:p w:rsidR="00906EA2" w:rsidRPr="00882614" w:rsidRDefault="00906EA2" w:rsidP="00906EA2">
      <w:pPr>
        <w:pStyle w:val="Default"/>
        <w:jc w:val="center"/>
        <w:rPr>
          <w:color w:val="auto"/>
          <w:sz w:val="20"/>
          <w:szCs w:val="20"/>
        </w:rPr>
      </w:pPr>
      <w:r w:rsidRPr="00882614">
        <w:rPr>
          <w:b/>
          <w:bCs/>
          <w:i/>
          <w:iCs/>
          <w:color w:val="auto"/>
          <w:sz w:val="20"/>
          <w:szCs w:val="20"/>
        </w:rPr>
        <w:t>Mg. TERESA SALINAS GAMERO</w:t>
      </w:r>
    </w:p>
    <w:p w:rsidR="00906EA2" w:rsidRPr="00882614" w:rsidRDefault="00906EA2" w:rsidP="00906EA2">
      <w:pPr>
        <w:pStyle w:val="Default"/>
        <w:jc w:val="center"/>
        <w:rPr>
          <w:color w:val="auto"/>
          <w:sz w:val="20"/>
          <w:szCs w:val="20"/>
        </w:rPr>
      </w:pPr>
      <w:r w:rsidRPr="00882614">
        <w:rPr>
          <w:color w:val="auto"/>
          <w:sz w:val="20"/>
          <w:szCs w:val="20"/>
        </w:rPr>
        <w:t>Directora Ejecutiva IPCEM</w:t>
      </w:r>
    </w:p>
    <w:p w:rsidR="00906EA2" w:rsidRPr="00882614" w:rsidRDefault="00906EA2" w:rsidP="00906EA2">
      <w:pPr>
        <w:pStyle w:val="Default"/>
        <w:jc w:val="center"/>
        <w:rPr>
          <w:color w:val="auto"/>
          <w:sz w:val="20"/>
          <w:szCs w:val="20"/>
        </w:rPr>
      </w:pPr>
      <w:r w:rsidRPr="00882614">
        <w:rPr>
          <w:color w:val="auto"/>
          <w:sz w:val="20"/>
          <w:szCs w:val="20"/>
        </w:rPr>
        <w:t>Presidenta Comité Ambiental para el Desarrollo Sostenible URP</w:t>
      </w:r>
    </w:p>
    <w:p w:rsidR="00906EA2" w:rsidRDefault="00906EA2" w:rsidP="00906EA2">
      <w:pPr>
        <w:pStyle w:val="Default"/>
        <w:rPr>
          <w:sz w:val="16"/>
          <w:szCs w:val="16"/>
        </w:rPr>
      </w:pPr>
    </w:p>
    <w:p w:rsidR="00FF6FFA" w:rsidRDefault="00FF6FFA" w:rsidP="0085492A">
      <w:pPr>
        <w:pStyle w:val="Sinespaciado"/>
        <w:rPr>
          <w:b/>
          <w:lang w:val="es-MX"/>
        </w:rPr>
      </w:pPr>
    </w:p>
    <w:p w:rsidR="00024232" w:rsidRDefault="0085492A" w:rsidP="0085492A">
      <w:pPr>
        <w:pStyle w:val="Sinespaciado"/>
        <w:rPr>
          <w:b/>
          <w:lang w:val="es-MX"/>
        </w:rPr>
      </w:pPr>
      <w:r w:rsidRPr="00906EA2">
        <w:rPr>
          <w:b/>
          <w:lang w:val="es-MX"/>
        </w:rPr>
        <w:t>ANEXOS:</w:t>
      </w:r>
    </w:p>
    <w:p w:rsidR="008B483C" w:rsidRPr="009F4EFD" w:rsidRDefault="008B483C" w:rsidP="008B483C">
      <w:pPr>
        <w:pStyle w:val="Default"/>
        <w:rPr>
          <w:sz w:val="20"/>
          <w:szCs w:val="20"/>
        </w:rPr>
      </w:pPr>
    </w:p>
    <w:p w:rsidR="008B483C" w:rsidRPr="001B4B9E" w:rsidRDefault="009F4EFD" w:rsidP="008B483C">
      <w:pPr>
        <w:spacing w:after="0" w:line="240" w:lineRule="auto"/>
        <w:jc w:val="both"/>
        <w:rPr>
          <w:sz w:val="20"/>
          <w:szCs w:val="20"/>
        </w:rPr>
      </w:pPr>
      <w:r w:rsidRPr="001B4B9E">
        <w:rPr>
          <w:b/>
          <w:sz w:val="20"/>
          <w:szCs w:val="20"/>
        </w:rPr>
        <w:t xml:space="preserve">ANEXO A: </w:t>
      </w:r>
      <w:r w:rsidR="008B483C" w:rsidRPr="001B4B9E">
        <w:rPr>
          <w:sz w:val="20"/>
          <w:szCs w:val="20"/>
        </w:rPr>
        <w:t xml:space="preserve"> </w:t>
      </w:r>
      <w:r w:rsidR="00360081" w:rsidRPr="001B4B9E">
        <w:rPr>
          <w:sz w:val="20"/>
          <w:szCs w:val="20"/>
        </w:rPr>
        <w:t xml:space="preserve">ACU N° 2896-2022 </w:t>
      </w:r>
      <w:r w:rsidR="008B483C" w:rsidRPr="001B4B9E">
        <w:rPr>
          <w:sz w:val="20"/>
          <w:szCs w:val="20"/>
        </w:rPr>
        <w:t>Comité Ambiental para el Desarrollo Sosten</w:t>
      </w:r>
      <w:r w:rsidR="00360081" w:rsidRPr="001B4B9E">
        <w:rPr>
          <w:sz w:val="20"/>
          <w:szCs w:val="20"/>
        </w:rPr>
        <w:t>ible URP</w:t>
      </w:r>
    </w:p>
    <w:p w:rsidR="00613581" w:rsidRPr="001B4B9E" w:rsidRDefault="00613581" w:rsidP="008B483C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1B4B9E">
        <w:rPr>
          <w:b/>
          <w:sz w:val="20"/>
          <w:szCs w:val="20"/>
        </w:rPr>
        <w:t>ANEXO B:</w:t>
      </w:r>
      <w:r w:rsidRPr="001B4B9E">
        <w:rPr>
          <w:sz w:val="20"/>
          <w:szCs w:val="20"/>
        </w:rPr>
        <w:t xml:space="preserve"> </w:t>
      </w:r>
      <w:r w:rsidR="00DA66E6" w:rsidRPr="001B4B9E">
        <w:rPr>
          <w:sz w:val="20"/>
          <w:szCs w:val="20"/>
        </w:rPr>
        <w:t xml:space="preserve">Sobre </w:t>
      </w:r>
      <w:r w:rsidRPr="001B4B9E">
        <w:rPr>
          <w:sz w:val="20"/>
          <w:szCs w:val="20"/>
        </w:rPr>
        <w:t>RCE Lima-Callao</w:t>
      </w:r>
    </w:p>
    <w:p w:rsidR="00AA3306" w:rsidRPr="001B4B9E" w:rsidRDefault="004D01D1" w:rsidP="00AA3306">
      <w:pPr>
        <w:spacing w:after="0" w:line="240" w:lineRule="auto"/>
        <w:jc w:val="both"/>
        <w:rPr>
          <w:rFonts w:ascii="Calibri" w:eastAsia="Times New Roman" w:hAnsi="Calibri" w:cs="Times New Roman"/>
          <w:kern w:val="24"/>
          <w:sz w:val="20"/>
          <w:szCs w:val="20"/>
          <w:lang w:eastAsia="es-PE"/>
        </w:rPr>
      </w:pPr>
      <w:r w:rsidRPr="001B4B9E">
        <w:rPr>
          <w:b/>
          <w:sz w:val="20"/>
          <w:szCs w:val="20"/>
        </w:rPr>
        <w:t>ANEXO</w:t>
      </w:r>
      <w:r w:rsidR="009F4EFD" w:rsidRPr="001B4B9E">
        <w:rPr>
          <w:b/>
          <w:sz w:val="20"/>
          <w:szCs w:val="20"/>
        </w:rPr>
        <w:t xml:space="preserve"> </w:t>
      </w:r>
      <w:r w:rsidR="00613581" w:rsidRPr="001B4B9E">
        <w:rPr>
          <w:b/>
          <w:sz w:val="20"/>
          <w:szCs w:val="20"/>
        </w:rPr>
        <w:t>C</w:t>
      </w:r>
      <w:r w:rsidRPr="001B4B9E">
        <w:rPr>
          <w:b/>
          <w:sz w:val="20"/>
          <w:szCs w:val="20"/>
        </w:rPr>
        <w:t xml:space="preserve">: </w:t>
      </w:r>
      <w:r w:rsidR="00AA3306" w:rsidRPr="001B4B9E">
        <w:rPr>
          <w:sz w:val="20"/>
          <w:szCs w:val="20"/>
        </w:rPr>
        <w:t>Hoja de ruta 2024</w:t>
      </w:r>
    </w:p>
    <w:p w:rsidR="00024232" w:rsidRPr="001B4B9E" w:rsidRDefault="00613581" w:rsidP="009F4EFD">
      <w:pPr>
        <w:pStyle w:val="Sinespaciado"/>
        <w:rPr>
          <w:sz w:val="20"/>
          <w:szCs w:val="20"/>
          <w:lang w:val="es-MX"/>
        </w:rPr>
      </w:pPr>
      <w:r w:rsidRPr="001B4B9E">
        <w:rPr>
          <w:b/>
          <w:sz w:val="20"/>
          <w:szCs w:val="20"/>
          <w:lang w:val="es-MX"/>
        </w:rPr>
        <w:t>ANEXO D</w:t>
      </w:r>
      <w:r w:rsidR="004D01D1" w:rsidRPr="001B4B9E">
        <w:rPr>
          <w:b/>
          <w:sz w:val="20"/>
          <w:szCs w:val="20"/>
          <w:lang w:val="es-MX"/>
        </w:rPr>
        <w:t>:</w:t>
      </w:r>
      <w:r w:rsidR="004D01D1" w:rsidRPr="001B4B9E">
        <w:rPr>
          <w:sz w:val="20"/>
          <w:szCs w:val="20"/>
          <w:lang w:val="es-MX"/>
        </w:rPr>
        <w:t xml:space="preserve"> </w:t>
      </w:r>
      <w:r w:rsidR="0085492A" w:rsidRPr="001B4B9E">
        <w:rPr>
          <w:sz w:val="20"/>
          <w:szCs w:val="20"/>
          <w:lang w:val="es-MX"/>
        </w:rPr>
        <w:t>Núcleos</w:t>
      </w:r>
      <w:r w:rsidR="00A56093" w:rsidRPr="001B4B9E">
        <w:rPr>
          <w:sz w:val="20"/>
          <w:szCs w:val="20"/>
          <w:lang w:val="es-MX"/>
        </w:rPr>
        <w:t xml:space="preserve"> de comités </w:t>
      </w:r>
      <w:r w:rsidR="0085492A" w:rsidRPr="001B4B9E">
        <w:rPr>
          <w:sz w:val="20"/>
          <w:szCs w:val="20"/>
          <w:lang w:val="es-MX"/>
        </w:rPr>
        <w:t>ambientales</w:t>
      </w:r>
      <w:r w:rsidR="008B483C" w:rsidRPr="001B4B9E">
        <w:rPr>
          <w:sz w:val="20"/>
          <w:szCs w:val="20"/>
          <w:lang w:val="es-MX"/>
        </w:rPr>
        <w:t>, según facultades</w:t>
      </w:r>
    </w:p>
    <w:p w:rsidR="00360081" w:rsidRPr="001B4B9E" w:rsidRDefault="00360081" w:rsidP="003600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1B4B9E">
        <w:rPr>
          <w:b/>
          <w:sz w:val="20"/>
          <w:szCs w:val="20"/>
          <w:lang w:val="es-MX"/>
        </w:rPr>
        <w:t>ANEXO E:</w:t>
      </w:r>
      <w:r w:rsidRPr="001B4B9E">
        <w:rPr>
          <w:sz w:val="20"/>
          <w:szCs w:val="20"/>
          <w:lang w:val="es-MX"/>
        </w:rPr>
        <w:t xml:space="preserve">  </w:t>
      </w:r>
      <w:r w:rsidRPr="001B4B9E">
        <w:rPr>
          <w:sz w:val="20"/>
          <w:szCs w:val="20"/>
        </w:rPr>
        <w:t>A</w:t>
      </w:r>
      <w:r w:rsidRPr="001B4B9E">
        <w:rPr>
          <w:sz w:val="20"/>
          <w:szCs w:val="20"/>
        </w:rPr>
        <w:t>ctas de reuniones d</w:t>
      </w:r>
      <w:bookmarkStart w:id="0" w:name="_GoBack"/>
      <w:bookmarkEnd w:id="0"/>
      <w:r w:rsidRPr="001B4B9E">
        <w:rPr>
          <w:sz w:val="20"/>
          <w:szCs w:val="20"/>
        </w:rPr>
        <w:t>el Comité Ambiental con fotos y lista de firmas de asistentes</w:t>
      </w:r>
    </w:p>
    <w:p w:rsidR="00360081" w:rsidRPr="001B4B9E" w:rsidRDefault="00360081" w:rsidP="009F4EFD">
      <w:pPr>
        <w:pStyle w:val="Sinespaciado"/>
        <w:rPr>
          <w:sz w:val="20"/>
          <w:szCs w:val="20"/>
        </w:rPr>
      </w:pPr>
    </w:p>
    <w:sectPr w:rsidR="00360081" w:rsidRPr="001B4B9E" w:rsidSect="002753D9">
      <w:pgSz w:w="11907" w:h="16840" w:code="9"/>
      <w:pgMar w:top="1418" w:right="1418" w:bottom="1418" w:left="1418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7202"/>
    <w:multiLevelType w:val="multilevel"/>
    <w:tmpl w:val="047EC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F9"/>
    <w:rsid w:val="00024232"/>
    <w:rsid w:val="000819BA"/>
    <w:rsid w:val="00174C80"/>
    <w:rsid w:val="001B4B9E"/>
    <w:rsid w:val="001C20F9"/>
    <w:rsid w:val="001D2F71"/>
    <w:rsid w:val="0020246D"/>
    <w:rsid w:val="002753D9"/>
    <w:rsid w:val="002B10D8"/>
    <w:rsid w:val="00315227"/>
    <w:rsid w:val="00353679"/>
    <w:rsid w:val="00360081"/>
    <w:rsid w:val="004C49A3"/>
    <w:rsid w:val="004D01D1"/>
    <w:rsid w:val="00510B19"/>
    <w:rsid w:val="005860A3"/>
    <w:rsid w:val="00613581"/>
    <w:rsid w:val="00620166"/>
    <w:rsid w:val="006243C5"/>
    <w:rsid w:val="00671138"/>
    <w:rsid w:val="00710443"/>
    <w:rsid w:val="00787F68"/>
    <w:rsid w:val="007E1C85"/>
    <w:rsid w:val="007F540B"/>
    <w:rsid w:val="0085492A"/>
    <w:rsid w:val="00885688"/>
    <w:rsid w:val="00885E25"/>
    <w:rsid w:val="008B483C"/>
    <w:rsid w:val="00906EA2"/>
    <w:rsid w:val="0093629C"/>
    <w:rsid w:val="00946D6A"/>
    <w:rsid w:val="00966EEF"/>
    <w:rsid w:val="00997013"/>
    <w:rsid w:val="009F4EFD"/>
    <w:rsid w:val="00A56093"/>
    <w:rsid w:val="00A81507"/>
    <w:rsid w:val="00A9178F"/>
    <w:rsid w:val="00AA3306"/>
    <w:rsid w:val="00B82AB1"/>
    <w:rsid w:val="00BA153D"/>
    <w:rsid w:val="00BD1C62"/>
    <w:rsid w:val="00CB3A43"/>
    <w:rsid w:val="00DA66E6"/>
    <w:rsid w:val="00EC64B7"/>
    <w:rsid w:val="00EF418A"/>
    <w:rsid w:val="00F02770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0867"/>
  <w15:chartTrackingRefBased/>
  <w15:docId w15:val="{07DFCB31-26FE-440A-9824-359721F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20F9"/>
    <w:pPr>
      <w:spacing w:after="0" w:line="240" w:lineRule="auto"/>
    </w:pPr>
    <w:rPr>
      <w:rFonts w:ascii="Calibri" w:eastAsia="Calibri" w:hAnsi="Calibri" w:cs="Calibri"/>
      <w:lang w:eastAsia="es-PE"/>
    </w:rPr>
  </w:style>
  <w:style w:type="paragraph" w:styleId="NormalWeb">
    <w:name w:val="Normal (Web)"/>
    <w:basedOn w:val="Normal"/>
    <w:uiPriority w:val="99"/>
    <w:unhideWhenUsed/>
    <w:rsid w:val="00CB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06E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87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p.edu.pe/ipcem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rcenetwork.org/portal/rce-profile-detail/rce-lima-call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p.edu.pe/rcelimacalla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47</cp:revision>
  <dcterms:created xsi:type="dcterms:W3CDTF">2024-09-23T21:18:00Z</dcterms:created>
  <dcterms:modified xsi:type="dcterms:W3CDTF">2024-09-23T22:29:00Z</dcterms:modified>
</cp:coreProperties>
</file>